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1D" w:rsidRDefault="00930E1D">
      <w:pPr>
        <w:jc w:val="center"/>
        <w:rPr>
          <w:b/>
          <w:bCs/>
          <w:u w:val="single"/>
        </w:rPr>
      </w:pPr>
      <w:r>
        <w:rPr>
          <w:b/>
          <w:bCs/>
          <w:u w:val="single"/>
        </w:rPr>
        <w:t xml:space="preserve">Détissages, rencontres de plasticiens textiles, 13 - 16 août 2015, Saint-Thélo </w:t>
      </w:r>
    </w:p>
    <w:p w:rsidR="00930E1D" w:rsidRDefault="00930E1D">
      <w:pPr>
        <w:jc w:val="center"/>
        <w:rPr>
          <w:b/>
          <w:bCs/>
          <w:u w:val="single"/>
        </w:rPr>
      </w:pPr>
    </w:p>
    <w:p w:rsidR="00930E1D" w:rsidRDefault="00930E1D">
      <w:pPr>
        <w:jc w:val="center"/>
        <w:rPr>
          <w:b/>
          <w:bCs/>
          <w:u w:val="single"/>
        </w:rPr>
      </w:pPr>
      <w:r>
        <w:rPr>
          <w:b/>
          <w:bCs/>
          <w:u w:val="single"/>
        </w:rPr>
        <w:t>Appel à participation</w:t>
      </w:r>
    </w:p>
    <w:p w:rsidR="00930E1D" w:rsidRDefault="00930E1D">
      <w:pPr>
        <w:jc w:val="center"/>
      </w:pPr>
    </w:p>
    <w:p w:rsidR="00930E1D" w:rsidRDefault="00930E1D">
      <w:pPr>
        <w:rPr>
          <w:b/>
          <w:bCs/>
        </w:rPr>
      </w:pPr>
    </w:p>
    <w:p w:rsidR="00930E1D" w:rsidRDefault="00930E1D">
      <w:pPr>
        <w:rPr>
          <w:b/>
          <w:bCs/>
        </w:rPr>
      </w:pPr>
      <w:r>
        <w:rPr>
          <w:b/>
          <w:bCs/>
        </w:rPr>
        <w:t>Environnement</w:t>
      </w:r>
    </w:p>
    <w:p w:rsidR="00930E1D" w:rsidRDefault="00930E1D">
      <w:r>
        <w:t>La région de Saint-Thélo et d’Uzel est située sur la Route du Lin, au centre de la Bretagne, près de Loudéac. Riche d’un patrimoine pluriséculaire impressionnant, tant humain qu’architectural, ces villages tisserands se sont ouverts audacieusement aux arts contemporains dès les années 1980. C’est dans ce cadre que furent institués les sites muséaux de la Maison des Toiles (Saint-Thélo) et de l’Atelier du Tisserand (Uzel). Le lien entre mémoire et création a été marqué avec une vigueur particulière par l’intervention de Tadashi Kawamata. L’architecte japonais a travaillé sur le site en 2004, 2005 à 2006, avec une équipe internationale d’étudiants, sur un financement de la Fondation de France. Les maisons de tisserands qu’il a réhabilitées à Saint-Thélo autour d’un belvédère en forme de gigantesque métier à tisser sont une invitation pérenne à l’exploitation artistique de la fibre textile.</w:t>
      </w:r>
    </w:p>
    <w:p w:rsidR="00930E1D" w:rsidRDefault="00930E1D"/>
    <w:p w:rsidR="00930E1D" w:rsidRDefault="00930E1D">
      <w:pPr>
        <w:rPr>
          <w:b/>
          <w:bCs/>
        </w:rPr>
      </w:pPr>
      <w:r>
        <w:rPr>
          <w:b/>
          <w:bCs/>
        </w:rPr>
        <w:t>Organisation</w:t>
      </w:r>
    </w:p>
    <w:p w:rsidR="00930E1D" w:rsidRDefault="00930E1D">
      <w:r>
        <w:t>C’est dans ce cadre fécond que la municipalité de Saint-Thélo organise, en partenariat avec l’association Mémoire en demeure,  le Comité d’action culturelle Sud et le syndicat de la Route du Lin,  week end de mi-août 2015, des rencontres de plasticiens textiles, ouvertes au public. Le commissariat artistique de l’événement est assuré par Anne Guibert-Lassalle, plasticienne textile et sociologue de l’art.</w:t>
      </w:r>
    </w:p>
    <w:p w:rsidR="00930E1D" w:rsidRDefault="00930E1D"/>
    <w:p w:rsidR="00930E1D" w:rsidRDefault="00930E1D">
      <w:pPr>
        <w:rPr>
          <w:b/>
          <w:bCs/>
        </w:rPr>
      </w:pPr>
      <w:r>
        <w:rPr>
          <w:b/>
          <w:bCs/>
        </w:rPr>
        <w:t>Problématique</w:t>
      </w:r>
    </w:p>
    <w:p w:rsidR="00930E1D" w:rsidRDefault="00930E1D">
      <w:r>
        <w:t xml:space="preserve">Ces trois jours d’échanges, intitulés Détissages, ont pour ambition d’explorer les procédés plastiques de détérioration du textile dans l’œuvre. Ils sont placés sous le patronage symbolique de Pénélope qui tissait le jour pour détisser la nuit. </w:t>
      </w:r>
    </w:p>
    <w:p w:rsidR="00930E1D" w:rsidRDefault="00930E1D"/>
    <w:p w:rsidR="00930E1D" w:rsidRDefault="00930E1D">
      <w:r>
        <w:t>On distingue généralement en arts plastiques quatre modes d’intervention sur la matière : la superposition, la fusion, la juxtaposition, la destruction. Cette forme d’association paradoxale que constitue la destruction sera au cœur des rencontres de Saint-Thélo cet été. Cette combinaison par la dégradation nous intéresse surtout lorsqu’elle reste partielle et porte la trace de la matière détériorée, transformée ou effacée. L’altération du textile pourrait être envisagée sous deux aspects principaux :</w:t>
      </w:r>
    </w:p>
    <w:p w:rsidR="00930E1D" w:rsidRDefault="00930E1D"/>
    <w:p w:rsidR="00930E1D" w:rsidRDefault="00930E1D">
      <w:pPr>
        <w:ind w:left="720" w:hanging="360"/>
        <w:rPr>
          <w:rFonts w:eastAsia="Times New Roman"/>
        </w:rPr>
      </w:pPr>
      <w:r>
        <w:rPr>
          <w:rFonts w:eastAsia="Times New Roman"/>
        </w:rPr>
        <w:t>a)</w:t>
      </w:r>
      <w:r>
        <w:rPr>
          <w:rFonts w:eastAsia="Times New Roman"/>
        </w:rPr>
        <w:tab/>
        <w:t xml:space="preserve">Les plasticiens textiles, conviés à la manifestation, pourraient être amenés à transmettre leurs expériences esthétiques dans le domaine de la fissure textile, de l’effilochage, de la déchirure, du démaillage, du détricotage, du desserrement de la trame et de la chaîne… ou de toute autre action confrontant le textile à d’autres matières, supports, pigments. Ils mettraient en évidence leur intérêt pour les zones de confrontation du textile avec autre chose. </w:t>
      </w:r>
    </w:p>
    <w:p w:rsidR="00930E1D" w:rsidRDefault="00930E1D">
      <w:pPr>
        <w:ind w:left="720"/>
      </w:pPr>
    </w:p>
    <w:p w:rsidR="00930E1D" w:rsidRDefault="00930E1D">
      <w:pPr>
        <w:ind w:left="720" w:hanging="360"/>
        <w:rPr>
          <w:rFonts w:eastAsia="Times New Roman"/>
        </w:rPr>
      </w:pPr>
      <w:r>
        <w:rPr>
          <w:rFonts w:eastAsia="Times New Roman"/>
        </w:rPr>
        <w:t>b)</w:t>
      </w:r>
      <w:r>
        <w:rPr>
          <w:rFonts w:eastAsia="Times New Roman"/>
        </w:rPr>
        <w:tab/>
        <w:t xml:space="preserve">Certains plasticiens pourraient être tentés de porter une attention privilégiée aux valeurs sociales et anthropologiques du tissu. Ils prendraient en compte dans l’analyse de leur travail plastique ce que le tissu signifie pour eux en termes d’échanges sociaux, de représentations identitaires ou mémorielles.  Le textile pourrait être considéré aussi, sous l’angle de la protection, de l’emblème ou du carcan. Le textile pourrait également être perçu comme prolongation intime des tissus organiques ou au contraire comme un obstacle, posé entre l’homme et le monde. Dans ce contexte, les artistes pourraient interpréter la destruction textile comme un geste susceptible de provoquer des émotions agréables ou désagréables, comme une déchirure qui libèrerait ou au contraire affaiblirait. Ils évoqueraient alors les recettes jubilatoires du détissage ou, à l’inverse, les solutions abordées pour panser la fracture textile, réconcilier le textile et les matériaux étrangers. </w:t>
      </w:r>
    </w:p>
    <w:p w:rsidR="00930E1D" w:rsidRDefault="00930E1D">
      <w:pPr>
        <w:ind w:left="720"/>
      </w:pPr>
    </w:p>
    <w:p w:rsidR="00930E1D" w:rsidRDefault="00930E1D">
      <w:r>
        <w:t>D’une manière générale, Détissages a pour vocation de réunir des plasticiens utilisant le textile sur un mode combinatoire et toujours futile. Les échanges porteront de manière concrète sur les gestes du plasticien et le ‘comment’ de son travail.</w:t>
      </w:r>
    </w:p>
    <w:p w:rsidR="00930E1D" w:rsidRDefault="00930E1D"/>
    <w:p w:rsidR="00930E1D" w:rsidRDefault="00930E1D">
      <w:pPr>
        <w:rPr>
          <w:b/>
          <w:bCs/>
        </w:rPr>
      </w:pPr>
      <w:r>
        <w:rPr>
          <w:b/>
          <w:bCs/>
        </w:rPr>
        <w:t xml:space="preserve">Programme </w:t>
      </w:r>
    </w:p>
    <w:p w:rsidR="00930E1D" w:rsidRDefault="00930E1D">
      <w:r>
        <w:t xml:space="preserve">Les rencontres commenceront </w:t>
      </w:r>
      <w:r>
        <w:rPr>
          <w:b/>
          <w:bCs/>
        </w:rPr>
        <w:t>le jeudi 13 août vers 14 heures et seront closes le dimanche matin 16 août 2015</w:t>
      </w:r>
      <w:r>
        <w:t>. Chaque artiste exposera au public deux ou trois œuvres achevées qu’il pourra proposer à la vente, s’il le souhaite. Il installera son atelier provisoire dans un espace collectif où il pourra travailler en présence du public et de ses collègues. Le travail en atelier sera animé par des temps forts, soirées thématiques, tables rondes, visites et repas en commun. Le programme détaillé vous sera communiqué ultérieurement.</w:t>
      </w:r>
    </w:p>
    <w:p w:rsidR="00930E1D" w:rsidRDefault="00930E1D"/>
    <w:p w:rsidR="00930E1D" w:rsidRDefault="00930E1D">
      <w:pPr>
        <w:rPr>
          <w:b/>
          <w:bCs/>
        </w:rPr>
      </w:pPr>
      <w:r>
        <w:rPr>
          <w:b/>
          <w:bCs/>
        </w:rPr>
        <w:t>Logistique</w:t>
      </w:r>
    </w:p>
    <w:p w:rsidR="00930E1D" w:rsidRDefault="00930E1D">
      <w:r>
        <w:t>Les artistes seront hébergés et nourris gratuitement à Saint-Thélo. Leurs frais de déplacement seront pris en charge sur la base de 0,30 €/km. Ils ne seront pas rémunérés. Les œuvres achevées et proposées à l’exposition seront assurées par les organisateurs et gardiennées dans un espace sécurisé. Une convention sera signée avec chaque artiste invité.</w:t>
      </w:r>
    </w:p>
    <w:p w:rsidR="00930E1D" w:rsidRDefault="00930E1D"/>
    <w:p w:rsidR="00930E1D" w:rsidRDefault="00930E1D">
      <w:pPr>
        <w:rPr>
          <w:b/>
          <w:bCs/>
        </w:rPr>
      </w:pPr>
      <w:r>
        <w:rPr>
          <w:b/>
          <w:bCs/>
        </w:rPr>
        <w:t>Comment postuler ?</w:t>
      </w:r>
    </w:p>
    <w:p w:rsidR="00930E1D" w:rsidRDefault="00930E1D">
      <w:r>
        <w:t xml:space="preserve">Si vous souhaitez participer à Détissages, il vous appartient de soumettre votre candidature avant le 30 avril 2015. Complétez le formulaire ci-après,  accompagné d’une photo en 200 dpi de chacune des œuvres que vous proposez. Vous devez adresser votre mail à </w:t>
      </w:r>
      <w:hyperlink r:id="rId6" w:history="1">
        <w:r>
          <w:rPr>
            <w:color w:val="0000FF"/>
            <w:u w:val="single"/>
          </w:rPr>
          <w:t>anne.guibert-lassalle@wanadoo.fr</w:t>
        </w:r>
      </w:hyperlink>
      <w:r>
        <w:t>.</w:t>
      </w:r>
    </w:p>
    <w:p w:rsidR="00930E1D" w:rsidRDefault="00930E1D"/>
    <w:p w:rsidR="00930E1D" w:rsidRDefault="00930E1D">
      <w:pPr>
        <w:spacing w:after="240" w:line="275" w:lineRule="auto"/>
        <w:jc w:val="left"/>
      </w:pPr>
      <w:r>
        <w:br w:type="page"/>
      </w:r>
    </w:p>
    <w:p w:rsidR="00930E1D" w:rsidRDefault="00930E1D">
      <w:pPr>
        <w:jc w:val="center"/>
        <w:rPr>
          <w:b/>
          <w:bCs/>
          <w:u w:val="single"/>
        </w:rPr>
      </w:pPr>
      <w:r>
        <w:rPr>
          <w:b/>
          <w:bCs/>
          <w:u w:val="single"/>
        </w:rPr>
        <w:t>« Détissages« , rencontres de plasticiens textiles, 13-16août 2015, Saint-Thélo.</w:t>
      </w:r>
    </w:p>
    <w:p w:rsidR="00930E1D" w:rsidRDefault="00930E1D">
      <w:pPr>
        <w:jc w:val="center"/>
        <w:rPr>
          <w:b/>
          <w:bCs/>
          <w:u w:val="single"/>
        </w:rPr>
      </w:pPr>
    </w:p>
    <w:p w:rsidR="00930E1D" w:rsidRDefault="00930E1D">
      <w:pPr>
        <w:jc w:val="center"/>
        <w:rPr>
          <w:b/>
          <w:bCs/>
          <w:u w:val="single"/>
        </w:rPr>
      </w:pPr>
      <w:r>
        <w:rPr>
          <w:b/>
          <w:bCs/>
          <w:u w:val="single"/>
        </w:rPr>
        <w:t>Formulaire de candidature</w:t>
      </w:r>
    </w:p>
    <w:p w:rsidR="00930E1D" w:rsidRDefault="00930E1D"/>
    <w:p w:rsidR="00930E1D" w:rsidRDefault="00930E1D">
      <w:pPr>
        <w:jc w:val="left"/>
      </w:pPr>
    </w:p>
    <w:p w:rsidR="00930E1D" w:rsidRDefault="00930E1D">
      <w:pPr>
        <w:pBdr>
          <w:top w:val="single" w:sz="8" w:space="1" w:color="auto"/>
          <w:left w:val="single" w:sz="8" w:space="1" w:color="auto"/>
          <w:bottom w:val="single" w:sz="8" w:space="1" w:color="auto"/>
          <w:right w:val="single" w:sz="8" w:space="1" w:color="auto"/>
        </w:pBdr>
        <w:jc w:val="left"/>
        <w:rPr>
          <w:b/>
          <w:bCs/>
        </w:rPr>
      </w:pPr>
      <w:r>
        <w:rPr>
          <w:b/>
          <w:bCs/>
        </w:rPr>
        <w:t>Nom, prénom</w:t>
      </w:r>
    </w:p>
    <w:p w:rsidR="00930E1D" w:rsidRDefault="00930E1D">
      <w:pPr>
        <w:pBdr>
          <w:top w:val="single" w:sz="8" w:space="1" w:color="auto"/>
          <w:left w:val="single" w:sz="8" w:space="1" w:color="auto"/>
          <w:bottom w:val="single" w:sz="8" w:space="1" w:color="auto"/>
          <w:right w:val="single" w:sz="8" w:space="1" w:color="auto"/>
        </w:pBdr>
        <w:jc w:val="left"/>
        <w:rPr>
          <w:b/>
          <w:bCs/>
        </w:rPr>
      </w:pPr>
    </w:p>
    <w:p w:rsidR="00930E1D" w:rsidRDefault="00930E1D">
      <w:pPr>
        <w:pBdr>
          <w:top w:val="single" w:sz="8" w:space="1" w:color="auto"/>
          <w:left w:val="single" w:sz="8" w:space="1" w:color="auto"/>
          <w:bottom w:val="single" w:sz="8" w:space="1" w:color="auto"/>
          <w:right w:val="single" w:sz="8" w:space="1" w:color="auto"/>
        </w:pBdr>
        <w:jc w:val="left"/>
        <w:rPr>
          <w:b/>
          <w:bCs/>
        </w:rPr>
      </w:pPr>
      <w:r>
        <w:rPr>
          <w:b/>
          <w:bCs/>
        </w:rPr>
        <w:t>Pseudonyme</w:t>
      </w:r>
    </w:p>
    <w:p w:rsidR="00930E1D" w:rsidRDefault="00930E1D">
      <w:pPr>
        <w:pBdr>
          <w:top w:val="single" w:sz="8" w:space="1" w:color="auto"/>
          <w:left w:val="single" w:sz="8" w:space="1" w:color="auto"/>
          <w:bottom w:val="single" w:sz="8" w:space="1" w:color="auto"/>
          <w:right w:val="single" w:sz="8" w:space="1" w:color="auto"/>
        </w:pBdr>
        <w:jc w:val="left"/>
        <w:rPr>
          <w:b/>
          <w:bCs/>
        </w:rPr>
      </w:pPr>
    </w:p>
    <w:p w:rsidR="00930E1D" w:rsidRDefault="00930E1D">
      <w:pPr>
        <w:pBdr>
          <w:top w:val="single" w:sz="8" w:space="1" w:color="auto"/>
          <w:left w:val="single" w:sz="8" w:space="1" w:color="auto"/>
          <w:bottom w:val="single" w:sz="8" w:space="1" w:color="auto"/>
          <w:right w:val="single" w:sz="8" w:space="1" w:color="auto"/>
        </w:pBdr>
        <w:jc w:val="left"/>
        <w:rPr>
          <w:b/>
          <w:bCs/>
        </w:rPr>
      </w:pPr>
      <w:r>
        <w:rPr>
          <w:b/>
          <w:bCs/>
        </w:rPr>
        <w:t>Adresse postale</w:t>
      </w:r>
    </w:p>
    <w:p w:rsidR="00930E1D" w:rsidRDefault="00930E1D">
      <w:pPr>
        <w:pBdr>
          <w:top w:val="single" w:sz="8" w:space="1" w:color="auto"/>
          <w:left w:val="single" w:sz="8" w:space="1" w:color="auto"/>
          <w:bottom w:val="single" w:sz="8" w:space="1" w:color="auto"/>
          <w:right w:val="single" w:sz="8" w:space="1" w:color="auto"/>
        </w:pBdr>
        <w:jc w:val="left"/>
        <w:rPr>
          <w:b/>
          <w:bCs/>
        </w:rPr>
      </w:pPr>
    </w:p>
    <w:p w:rsidR="00930E1D" w:rsidRDefault="00930E1D">
      <w:pPr>
        <w:pBdr>
          <w:top w:val="single" w:sz="8" w:space="1" w:color="auto"/>
          <w:left w:val="single" w:sz="8" w:space="1" w:color="auto"/>
          <w:bottom w:val="single" w:sz="8" w:space="1" w:color="auto"/>
          <w:right w:val="single" w:sz="8" w:space="1" w:color="auto"/>
        </w:pBdr>
        <w:jc w:val="left"/>
        <w:rPr>
          <w:b/>
          <w:bCs/>
        </w:rPr>
      </w:pPr>
      <w:r>
        <w:rPr>
          <w:b/>
          <w:bCs/>
        </w:rPr>
        <w:t>Adresse email</w:t>
      </w:r>
    </w:p>
    <w:p w:rsidR="00930E1D" w:rsidRDefault="00930E1D">
      <w:pPr>
        <w:pBdr>
          <w:top w:val="single" w:sz="8" w:space="1" w:color="auto"/>
          <w:left w:val="single" w:sz="8" w:space="1" w:color="auto"/>
          <w:bottom w:val="single" w:sz="8" w:space="1" w:color="auto"/>
          <w:right w:val="single" w:sz="8" w:space="1" w:color="auto"/>
        </w:pBdr>
        <w:jc w:val="left"/>
        <w:rPr>
          <w:b/>
          <w:bCs/>
        </w:rPr>
      </w:pPr>
    </w:p>
    <w:p w:rsidR="00930E1D" w:rsidRDefault="00930E1D">
      <w:pPr>
        <w:pBdr>
          <w:top w:val="single" w:sz="8" w:space="1" w:color="auto"/>
          <w:left w:val="single" w:sz="8" w:space="1" w:color="auto"/>
          <w:bottom w:val="single" w:sz="8" w:space="1" w:color="auto"/>
          <w:right w:val="single" w:sz="8" w:space="1" w:color="auto"/>
        </w:pBdr>
        <w:jc w:val="left"/>
        <w:rPr>
          <w:b/>
          <w:bCs/>
        </w:rPr>
      </w:pPr>
      <w:r>
        <w:rPr>
          <w:b/>
          <w:bCs/>
        </w:rPr>
        <w:t>Téléphone</w:t>
      </w:r>
    </w:p>
    <w:p w:rsidR="00930E1D" w:rsidRDefault="00930E1D">
      <w:pPr>
        <w:pBdr>
          <w:top w:val="single" w:sz="8" w:space="1" w:color="auto"/>
          <w:left w:val="single" w:sz="8" w:space="1" w:color="auto"/>
          <w:bottom w:val="single" w:sz="8" w:space="1" w:color="auto"/>
          <w:right w:val="single" w:sz="8" w:space="1" w:color="auto"/>
        </w:pBdr>
        <w:jc w:val="left"/>
        <w:rPr>
          <w:b/>
          <w:bCs/>
        </w:rPr>
      </w:pPr>
    </w:p>
    <w:p w:rsidR="00930E1D" w:rsidRDefault="00930E1D">
      <w:pPr>
        <w:pBdr>
          <w:top w:val="single" w:sz="8" w:space="1" w:color="auto"/>
          <w:left w:val="single" w:sz="8" w:space="1" w:color="auto"/>
          <w:bottom w:val="single" w:sz="8" w:space="1" w:color="auto"/>
          <w:right w:val="single" w:sz="8" w:space="1" w:color="auto"/>
        </w:pBdr>
        <w:jc w:val="left"/>
        <w:rPr>
          <w:b/>
          <w:bCs/>
        </w:rPr>
      </w:pPr>
      <w:r>
        <w:rPr>
          <w:b/>
          <w:bCs/>
        </w:rPr>
        <w:t>Année de naissance</w:t>
      </w:r>
    </w:p>
    <w:p w:rsidR="00930E1D" w:rsidRDefault="00930E1D">
      <w:pPr>
        <w:pBdr>
          <w:top w:val="single" w:sz="8" w:space="1" w:color="auto"/>
          <w:left w:val="single" w:sz="8" w:space="1" w:color="auto"/>
          <w:bottom w:val="single" w:sz="8" w:space="1" w:color="auto"/>
          <w:right w:val="single" w:sz="8" w:space="1" w:color="auto"/>
        </w:pBdr>
        <w:jc w:val="left"/>
        <w:rPr>
          <w:b/>
          <w:bCs/>
        </w:rPr>
      </w:pPr>
    </w:p>
    <w:p w:rsidR="00930E1D" w:rsidRDefault="00930E1D">
      <w:pPr>
        <w:pBdr>
          <w:top w:val="single" w:sz="8" w:space="1" w:color="auto"/>
          <w:left w:val="single" w:sz="8" w:space="1" w:color="auto"/>
          <w:bottom w:val="single" w:sz="8" w:space="1" w:color="auto"/>
          <w:right w:val="single" w:sz="8" w:space="1" w:color="auto"/>
        </w:pBdr>
        <w:jc w:val="left"/>
        <w:rPr>
          <w:b/>
          <w:bCs/>
        </w:rPr>
      </w:pPr>
      <w:r>
        <w:rPr>
          <w:b/>
          <w:bCs/>
        </w:rPr>
        <w:t>Site ou blog personnel</w:t>
      </w:r>
    </w:p>
    <w:p w:rsidR="00930E1D" w:rsidRDefault="00930E1D">
      <w:pPr>
        <w:pBdr>
          <w:top w:val="single" w:sz="8" w:space="1" w:color="auto"/>
          <w:left w:val="single" w:sz="8" w:space="1" w:color="auto"/>
          <w:bottom w:val="single" w:sz="8" w:space="1" w:color="auto"/>
          <w:right w:val="single" w:sz="8" w:space="1" w:color="auto"/>
        </w:pBdr>
        <w:jc w:val="left"/>
        <w:rPr>
          <w:b/>
          <w:bCs/>
        </w:rPr>
      </w:pPr>
    </w:p>
    <w:p w:rsidR="00930E1D" w:rsidRDefault="00930E1D">
      <w:pPr>
        <w:pBdr>
          <w:top w:val="single" w:sz="8" w:space="1" w:color="auto"/>
          <w:left w:val="single" w:sz="8" w:space="1" w:color="auto"/>
          <w:bottom w:val="single" w:sz="8" w:space="1" w:color="auto"/>
          <w:right w:val="single" w:sz="8" w:space="1" w:color="auto"/>
        </w:pBdr>
        <w:jc w:val="left"/>
        <w:rPr>
          <w:b/>
          <w:bCs/>
        </w:rPr>
      </w:pPr>
      <w:r>
        <w:rPr>
          <w:b/>
          <w:bCs/>
        </w:rPr>
        <w:t>N°MDA (</w:t>
      </w:r>
      <w:r>
        <w:rPr>
          <w:b/>
          <w:bCs/>
          <w:sz w:val="22"/>
          <w:szCs w:val="22"/>
        </w:rPr>
        <w:t>obligatoire – joindre une photocopie du certificat d’inscription</w:t>
      </w:r>
      <w:r>
        <w:rPr>
          <w:b/>
          <w:bCs/>
        </w:rPr>
        <w:t>)</w:t>
      </w:r>
    </w:p>
    <w:p w:rsidR="00930E1D" w:rsidRDefault="00930E1D">
      <w:pPr>
        <w:jc w:val="left"/>
      </w:pPr>
    </w:p>
    <w:p w:rsidR="00930E1D" w:rsidRDefault="00930E1D">
      <w:pPr>
        <w:jc w:val="left"/>
        <w:rPr>
          <w:b/>
          <w:bCs/>
        </w:rPr>
      </w:pPr>
      <w:r>
        <w:rPr>
          <w:b/>
          <w:bCs/>
        </w:rPr>
        <w:t>Formation artistique (s’il y a lieu) :</w:t>
      </w:r>
    </w:p>
    <w:p w:rsidR="00930E1D" w:rsidRDefault="00930E1D">
      <w:pPr>
        <w:jc w:val="left"/>
      </w:pPr>
    </w:p>
    <w:p w:rsidR="00930E1D" w:rsidRDefault="00930E1D">
      <w:pPr>
        <w:jc w:val="left"/>
      </w:pPr>
      <w:r>
        <w:rPr>
          <w:b/>
          <w:bCs/>
        </w:rPr>
        <w:t>Principales expositions ou interventions artistiques</w:t>
      </w:r>
      <w:r>
        <w:t> :</w:t>
      </w:r>
    </w:p>
    <w:p w:rsidR="00930E1D" w:rsidRDefault="00930E1D">
      <w:pPr>
        <w:jc w:val="left"/>
      </w:pPr>
    </w:p>
    <w:p w:rsidR="00930E1D" w:rsidRDefault="00930E1D">
      <w:pPr>
        <w:jc w:val="left"/>
        <w:rPr>
          <w:b/>
          <w:bCs/>
        </w:rPr>
      </w:pPr>
      <w:r>
        <w:rPr>
          <w:b/>
          <w:bCs/>
        </w:rPr>
        <w:t>Exposé détaillé de la démarche :</w:t>
      </w:r>
    </w:p>
    <w:p w:rsidR="00930E1D" w:rsidRDefault="00930E1D">
      <w:pPr>
        <w:jc w:val="left"/>
      </w:pPr>
    </w:p>
    <w:p w:rsidR="00930E1D" w:rsidRDefault="00930E1D">
      <w:pPr>
        <w:rPr>
          <w:b/>
          <w:bCs/>
        </w:rPr>
      </w:pPr>
      <w:r>
        <w:rPr>
          <w:b/>
          <w:bCs/>
        </w:rPr>
        <w:t>Exposé concret du travail que vous vous proposez d’effectuer en présence du public au cours des ateliers :</w:t>
      </w:r>
    </w:p>
    <w:p w:rsidR="00930E1D" w:rsidRDefault="00930E1D">
      <w:pPr>
        <w:jc w:val="left"/>
      </w:pPr>
    </w:p>
    <w:p w:rsidR="00930E1D" w:rsidRDefault="00930E1D">
      <w:pPr>
        <w:jc w:val="left"/>
      </w:pPr>
      <w:r>
        <w:rPr>
          <w:b/>
          <w:bCs/>
        </w:rPr>
        <w:t>Œuvres proposées à l’exposition (3 au maximum) avec photos jointes à votre courriel</w:t>
      </w:r>
      <w:r>
        <w:t xml:space="preserve"> :</w:t>
      </w:r>
    </w:p>
    <w:p w:rsidR="00930E1D" w:rsidRDefault="00930E1D">
      <w:pPr>
        <w:jc w:val="left"/>
      </w:pPr>
    </w:p>
    <w:tbl>
      <w:tblPr>
        <w:tblW w:w="0" w:type="auto"/>
        <w:tblInd w:w="-178" w:type="dxa"/>
        <w:tblLayout w:type="fixed"/>
        <w:tblCellMar>
          <w:left w:w="180" w:type="dxa"/>
          <w:right w:w="180" w:type="dxa"/>
        </w:tblCellMar>
        <w:tblLook w:val="0000"/>
      </w:tblPr>
      <w:tblGrid>
        <w:gridCol w:w="3070"/>
        <w:gridCol w:w="3072"/>
        <w:gridCol w:w="3072"/>
      </w:tblGrid>
      <w:tr w:rsidR="00930E1D">
        <w:tblPrEx>
          <w:tblCellMar>
            <w:top w:w="0" w:type="dxa"/>
            <w:bottom w:w="0" w:type="dxa"/>
          </w:tblCellMar>
        </w:tblPrEx>
        <w:trPr>
          <w:trHeight w:val="1136"/>
        </w:trPr>
        <w:tc>
          <w:tcPr>
            <w:tcW w:w="3070" w:type="dxa"/>
            <w:tcBorders>
              <w:top w:val="single" w:sz="8" w:space="0" w:color="auto"/>
              <w:left w:val="single" w:sz="8" w:space="0" w:color="auto"/>
              <w:bottom w:val="single" w:sz="8" w:space="0" w:color="auto"/>
              <w:right w:val="nil"/>
            </w:tcBorders>
          </w:tcPr>
          <w:p w:rsidR="00930E1D" w:rsidRDefault="00930E1D">
            <w:pPr>
              <w:jc w:val="left"/>
            </w:pPr>
            <w:r>
              <w:rPr>
                <w:b/>
                <w:bCs/>
                <w:sz w:val="22"/>
                <w:szCs w:val="22"/>
              </w:rPr>
              <w:t xml:space="preserve">Titre de l’œuvre </w:t>
            </w:r>
          </w:p>
        </w:tc>
        <w:tc>
          <w:tcPr>
            <w:tcW w:w="3072" w:type="dxa"/>
            <w:tcBorders>
              <w:top w:val="single" w:sz="8" w:space="0" w:color="auto"/>
              <w:left w:val="single" w:sz="8" w:space="0" w:color="auto"/>
              <w:bottom w:val="single" w:sz="8" w:space="0" w:color="auto"/>
              <w:right w:val="nil"/>
            </w:tcBorders>
          </w:tcPr>
          <w:p w:rsidR="00930E1D" w:rsidRDefault="00930E1D">
            <w:pPr>
              <w:jc w:val="left"/>
            </w:pPr>
            <w:r>
              <w:rPr>
                <w:b/>
                <w:bCs/>
                <w:sz w:val="22"/>
                <w:szCs w:val="22"/>
              </w:rPr>
              <w:t>Format, matériaux principaux et dispositif de présentation (cimaise, support…)</w:t>
            </w:r>
          </w:p>
        </w:tc>
        <w:tc>
          <w:tcPr>
            <w:tcW w:w="3072" w:type="dxa"/>
            <w:tcBorders>
              <w:top w:val="single" w:sz="8" w:space="0" w:color="auto"/>
              <w:left w:val="single" w:sz="8" w:space="0" w:color="auto"/>
              <w:bottom w:val="single" w:sz="8" w:space="0" w:color="auto"/>
              <w:right w:val="single" w:sz="8" w:space="0" w:color="auto"/>
            </w:tcBorders>
          </w:tcPr>
          <w:p w:rsidR="00930E1D" w:rsidRDefault="00930E1D">
            <w:pPr>
              <w:jc w:val="left"/>
            </w:pPr>
            <w:r>
              <w:rPr>
                <w:b/>
                <w:bCs/>
                <w:sz w:val="22"/>
                <w:szCs w:val="22"/>
              </w:rPr>
              <w:t>Valeur d’assurance</w:t>
            </w:r>
          </w:p>
        </w:tc>
      </w:tr>
      <w:tr w:rsidR="00930E1D">
        <w:tblPrEx>
          <w:tblCellMar>
            <w:top w:w="0" w:type="dxa"/>
            <w:bottom w:w="0" w:type="dxa"/>
          </w:tblCellMar>
        </w:tblPrEx>
        <w:trPr>
          <w:trHeight w:val="666"/>
        </w:trPr>
        <w:tc>
          <w:tcPr>
            <w:tcW w:w="3070" w:type="dxa"/>
            <w:tcBorders>
              <w:top w:val="single" w:sz="8" w:space="0" w:color="auto"/>
              <w:left w:val="single" w:sz="8" w:space="0" w:color="auto"/>
              <w:bottom w:val="single" w:sz="8" w:space="0" w:color="auto"/>
              <w:right w:val="nil"/>
            </w:tcBorders>
          </w:tcPr>
          <w:p w:rsidR="00930E1D" w:rsidRDefault="00930E1D">
            <w:pPr>
              <w:jc w:val="left"/>
            </w:pPr>
          </w:p>
          <w:p w:rsidR="00930E1D" w:rsidRDefault="00930E1D">
            <w:pPr>
              <w:jc w:val="left"/>
            </w:pPr>
          </w:p>
        </w:tc>
        <w:tc>
          <w:tcPr>
            <w:tcW w:w="3072" w:type="dxa"/>
            <w:tcBorders>
              <w:top w:val="single" w:sz="8" w:space="0" w:color="auto"/>
              <w:left w:val="single" w:sz="8" w:space="0" w:color="auto"/>
              <w:bottom w:val="single" w:sz="8" w:space="0" w:color="auto"/>
              <w:right w:val="nil"/>
            </w:tcBorders>
          </w:tcPr>
          <w:p w:rsidR="00930E1D" w:rsidRDefault="00930E1D">
            <w:pPr>
              <w:overflowPunct/>
              <w:autoSpaceDE w:val="0"/>
              <w:autoSpaceDN w:val="0"/>
              <w:jc w:val="left"/>
            </w:pPr>
          </w:p>
        </w:tc>
        <w:tc>
          <w:tcPr>
            <w:tcW w:w="3072" w:type="dxa"/>
            <w:tcBorders>
              <w:top w:val="single" w:sz="8" w:space="0" w:color="auto"/>
              <w:left w:val="single" w:sz="8" w:space="0" w:color="auto"/>
              <w:bottom w:val="single" w:sz="8" w:space="0" w:color="auto"/>
              <w:right w:val="single" w:sz="8" w:space="0" w:color="auto"/>
            </w:tcBorders>
          </w:tcPr>
          <w:p w:rsidR="00930E1D" w:rsidRDefault="00930E1D">
            <w:pPr>
              <w:overflowPunct/>
              <w:autoSpaceDE w:val="0"/>
              <w:autoSpaceDN w:val="0"/>
              <w:jc w:val="left"/>
            </w:pPr>
          </w:p>
        </w:tc>
      </w:tr>
      <w:tr w:rsidR="00930E1D">
        <w:tblPrEx>
          <w:tblCellMar>
            <w:top w:w="0" w:type="dxa"/>
            <w:bottom w:w="0" w:type="dxa"/>
          </w:tblCellMar>
        </w:tblPrEx>
        <w:trPr>
          <w:trHeight w:val="666"/>
        </w:trPr>
        <w:tc>
          <w:tcPr>
            <w:tcW w:w="3070" w:type="dxa"/>
            <w:tcBorders>
              <w:top w:val="single" w:sz="8" w:space="0" w:color="auto"/>
              <w:left w:val="single" w:sz="8" w:space="0" w:color="auto"/>
              <w:bottom w:val="single" w:sz="8" w:space="0" w:color="auto"/>
              <w:right w:val="nil"/>
            </w:tcBorders>
          </w:tcPr>
          <w:p w:rsidR="00930E1D" w:rsidRDefault="00930E1D">
            <w:pPr>
              <w:jc w:val="left"/>
            </w:pPr>
          </w:p>
          <w:p w:rsidR="00930E1D" w:rsidRDefault="00930E1D">
            <w:pPr>
              <w:jc w:val="left"/>
            </w:pPr>
          </w:p>
        </w:tc>
        <w:tc>
          <w:tcPr>
            <w:tcW w:w="3072" w:type="dxa"/>
            <w:tcBorders>
              <w:top w:val="single" w:sz="8" w:space="0" w:color="auto"/>
              <w:left w:val="single" w:sz="8" w:space="0" w:color="auto"/>
              <w:bottom w:val="single" w:sz="8" w:space="0" w:color="auto"/>
              <w:right w:val="nil"/>
            </w:tcBorders>
          </w:tcPr>
          <w:p w:rsidR="00930E1D" w:rsidRDefault="00930E1D">
            <w:pPr>
              <w:overflowPunct/>
              <w:autoSpaceDE w:val="0"/>
              <w:autoSpaceDN w:val="0"/>
              <w:jc w:val="left"/>
            </w:pPr>
          </w:p>
        </w:tc>
        <w:tc>
          <w:tcPr>
            <w:tcW w:w="3072" w:type="dxa"/>
            <w:tcBorders>
              <w:top w:val="single" w:sz="8" w:space="0" w:color="auto"/>
              <w:left w:val="single" w:sz="8" w:space="0" w:color="auto"/>
              <w:bottom w:val="single" w:sz="8" w:space="0" w:color="auto"/>
              <w:right w:val="single" w:sz="8" w:space="0" w:color="auto"/>
            </w:tcBorders>
          </w:tcPr>
          <w:p w:rsidR="00930E1D" w:rsidRDefault="00930E1D">
            <w:pPr>
              <w:overflowPunct/>
              <w:autoSpaceDE w:val="0"/>
              <w:autoSpaceDN w:val="0"/>
              <w:jc w:val="left"/>
            </w:pPr>
          </w:p>
        </w:tc>
      </w:tr>
      <w:tr w:rsidR="00930E1D">
        <w:tblPrEx>
          <w:tblCellMar>
            <w:top w:w="0" w:type="dxa"/>
            <w:bottom w:w="0" w:type="dxa"/>
          </w:tblCellMar>
        </w:tblPrEx>
        <w:trPr>
          <w:trHeight w:val="666"/>
        </w:trPr>
        <w:tc>
          <w:tcPr>
            <w:tcW w:w="3070" w:type="dxa"/>
            <w:tcBorders>
              <w:top w:val="single" w:sz="8" w:space="0" w:color="auto"/>
              <w:left w:val="single" w:sz="8" w:space="0" w:color="auto"/>
              <w:bottom w:val="single" w:sz="8" w:space="0" w:color="auto"/>
              <w:right w:val="nil"/>
            </w:tcBorders>
          </w:tcPr>
          <w:p w:rsidR="00930E1D" w:rsidRDefault="00930E1D">
            <w:pPr>
              <w:jc w:val="left"/>
            </w:pPr>
          </w:p>
          <w:p w:rsidR="00930E1D" w:rsidRDefault="00930E1D">
            <w:pPr>
              <w:jc w:val="left"/>
            </w:pPr>
          </w:p>
        </w:tc>
        <w:tc>
          <w:tcPr>
            <w:tcW w:w="3072" w:type="dxa"/>
            <w:tcBorders>
              <w:top w:val="single" w:sz="8" w:space="0" w:color="auto"/>
              <w:left w:val="single" w:sz="8" w:space="0" w:color="auto"/>
              <w:bottom w:val="single" w:sz="8" w:space="0" w:color="auto"/>
              <w:right w:val="nil"/>
            </w:tcBorders>
          </w:tcPr>
          <w:p w:rsidR="00930E1D" w:rsidRDefault="00930E1D">
            <w:pPr>
              <w:overflowPunct/>
              <w:autoSpaceDE w:val="0"/>
              <w:autoSpaceDN w:val="0"/>
              <w:jc w:val="left"/>
            </w:pPr>
          </w:p>
        </w:tc>
        <w:tc>
          <w:tcPr>
            <w:tcW w:w="3072" w:type="dxa"/>
            <w:tcBorders>
              <w:top w:val="single" w:sz="8" w:space="0" w:color="auto"/>
              <w:left w:val="single" w:sz="8" w:space="0" w:color="auto"/>
              <w:bottom w:val="single" w:sz="8" w:space="0" w:color="auto"/>
              <w:right w:val="single" w:sz="8" w:space="0" w:color="auto"/>
            </w:tcBorders>
          </w:tcPr>
          <w:p w:rsidR="00930E1D" w:rsidRDefault="00930E1D">
            <w:pPr>
              <w:overflowPunct/>
              <w:autoSpaceDE w:val="0"/>
              <w:autoSpaceDN w:val="0"/>
              <w:jc w:val="left"/>
            </w:pPr>
          </w:p>
        </w:tc>
      </w:tr>
    </w:tbl>
    <w:p w:rsidR="00930E1D" w:rsidRDefault="00930E1D">
      <w:pPr>
        <w:overflowPunct/>
        <w:autoSpaceDE w:val="0"/>
        <w:autoSpaceDN w:val="0"/>
        <w:jc w:val="left"/>
      </w:pPr>
    </w:p>
    <w:p w:rsidR="00930E1D" w:rsidRDefault="00930E1D"/>
    <w:p w:rsidR="00930E1D" w:rsidRDefault="00930E1D">
      <w:pPr>
        <w:rPr>
          <w:i/>
          <w:iCs/>
        </w:rPr>
      </w:pPr>
      <w:r>
        <w:rPr>
          <w:i/>
          <w:iCs/>
        </w:rPr>
        <w:t>Nb. Faire préciser les dates pour confirmation !</w:t>
      </w:r>
    </w:p>
    <w:sectPr w:rsidR="00930E1D" w:rsidSect="00930E1D">
      <w:headerReference w:type="default" r:id="rId7"/>
      <w:footerReference w:type="default" r:id="rId8"/>
      <w:pgSz w:w="11905" w:h="16838"/>
      <w:pgMar w:top="1416" w:right="1416" w:bottom="1416" w:left="1416"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1D" w:rsidRDefault="00930E1D" w:rsidP="00930E1D">
      <w:r>
        <w:separator/>
      </w:r>
    </w:p>
  </w:endnote>
  <w:endnote w:type="continuationSeparator" w:id="0">
    <w:p w:rsidR="00930E1D" w:rsidRDefault="00930E1D" w:rsidP="00930E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1D" w:rsidRDefault="00930E1D">
    <w:pPr>
      <w:tabs>
        <w:tab w:val="center" w:pos="4536"/>
        <w:tab w:val="right" w:pos="9072"/>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1D" w:rsidRDefault="00930E1D" w:rsidP="00930E1D">
      <w:r>
        <w:separator/>
      </w:r>
    </w:p>
  </w:footnote>
  <w:footnote w:type="continuationSeparator" w:id="0">
    <w:p w:rsidR="00930E1D" w:rsidRDefault="00930E1D" w:rsidP="0093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1D" w:rsidRDefault="00930E1D">
    <w:pPr>
      <w:tabs>
        <w:tab w:val="center" w:pos="4536"/>
        <w:tab w:val="right" w:pos="9072"/>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30E1D"/>
    <w:rsid w:val="00930E1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jc w:val="both"/>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guibert-lassalle@wanadoo.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